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2013 254 vom 20. November 2014</w:t>
      </w:r>
    </w:p>
    <w:p>
      <w:r>
        <w:t>BL Gerichte, 2014-11-20, DE</w:t>
      </w:r>
    </w:p>
    <w:p>
      <w:r>
        <w:rPr>
          <w:b/>
        </w:rPr>
        <w:t xml:space="preserve">Quelle: </w:t>
      </w:r>
      <w:r>
        <w:t>https://mcp.opencaselaw.ch/entscheid/bl_gerichte_735 2013 254</w:t>
      </w:r>
    </w:p>
    <w:p>
      <w:r>
        <w:t>FR: BL_GERICHTE 735 2013 254 du 20 novembre 2014</w:t>
      </w:r>
    </w:p>
    <w:p>
      <w:r>
        <w:t>IT: BL_GERICHTE 735 2013 254 del 20 novembre 2014</w:t>
      </w:r>
    </w:p>
    <w:p>
      <w:pPr>
        <w:pStyle w:val="Heading2"/>
      </w:pPr>
      <w:r>
        <w:t>Regeste</w:t>
      </w:r>
    </w:p>
    <w:p>
      <w:r>
        <w:t>Austrittsleistung aus beruflicher Vorsorge</w:t>
      </w:r>
    </w:p>
    <w:p>
      <w:pPr>
        <w:pStyle w:val="Heading2"/>
      </w:pPr>
      <w:r>
        <w:t>Erwägungen</w:t>
      </w:r>
    </w:p>
    <w:p>
      <w:r>
        <w:rPr>
          <w:b/>
        </w:rPr>
        <w:t>E. 1</w:t>
      </w:r>
    </w:p>
    <w:p>
      <w:r>
        <w:t>Die D. wird angewiesen, zu Lasten des Vorsorgekontos von B. mit Fälligkeit nach Rechtskraft des vorliegenden Urteils den Betrag von Fr. 7‘166.70 auf das Vorsorgekonto von A. bei der C. zu überweisen, wobei dieser Betrag vom 15. August 2013 bis 31. Dezember 2013 mit dem reglementarischen Zinssatz oder subsidiär dem BVG-Mindestzinssatz von 1,5 %, ab 1. Januar 2014 mit dem reglementarischen Zinssatz oder subsidiär dem BVG-Mindestzinssatz von 1,75 %, und gegebenenfalls ab dem 31. Tag nach Eintritt der Rechtskraft des vorliegenden Urteils bzw. am Tag der Ausfällung des Entscheids des Bundesgerichts mit einem Verzugszinssatz von 2,75 % zu verzinsen ist.</w:t>
      </w:r>
    </w:p>
    <w:p>
      <w:r>
        <w:rPr>
          <w:b/>
        </w:rPr>
        <w:t>E. 2</w:t>
      </w:r>
    </w:p>
    <w:p>
      <w:r>
        <w:t>Es werden keine Verfahrenskosten erhoben.</w:t>
      </w:r>
    </w:p>
    <w:p>
      <w:r>
        <w:rPr>
          <w:b/>
        </w:rPr>
        <w:t>E. 3</w:t>
      </w:r>
    </w:p>
    <w:p>
      <w:r>
        <w:t>Die ausserordentlichen Kosten werden wettgeschlagen. Gegen das Urteil wurde durch die geschiedene Ehefrau am 22. April 2015 Beschwerde beim Bundesgericht (siehe nach Vorliegen des Urteils: Verfahren-Nr. 9C_266/2015 )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